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3C3B3" w14:textId="2DBDFC5F" w:rsidR="00B71891" w:rsidRPr="00872E3F" w:rsidRDefault="00B71891" w:rsidP="0032118C">
      <w:pPr>
        <w:rPr>
          <w:b/>
          <w:sz w:val="24"/>
          <w:szCs w:val="24"/>
        </w:rPr>
      </w:pPr>
      <w:r w:rsidRPr="009E59C6">
        <w:rPr>
          <w:sz w:val="24"/>
          <w:szCs w:val="24"/>
        </w:rPr>
        <w:t>VYUČUJÍCÍ:</w:t>
      </w:r>
      <w:r w:rsidR="00FE14C3" w:rsidRPr="009E59C6">
        <w:rPr>
          <w:sz w:val="24"/>
          <w:szCs w:val="24"/>
        </w:rPr>
        <w:tab/>
      </w:r>
      <w:r w:rsidR="00FE14C3" w:rsidRPr="009E59C6">
        <w:rPr>
          <w:sz w:val="24"/>
          <w:szCs w:val="24"/>
        </w:rPr>
        <w:tab/>
      </w:r>
      <w:r w:rsidR="00FE14C3" w:rsidRPr="009E59C6">
        <w:rPr>
          <w:sz w:val="24"/>
          <w:szCs w:val="24"/>
        </w:rPr>
        <w:tab/>
      </w:r>
      <w:r w:rsidR="00FE14C3" w:rsidRPr="009E59C6">
        <w:rPr>
          <w:b/>
          <w:sz w:val="24"/>
          <w:szCs w:val="24"/>
        </w:rPr>
        <w:t xml:space="preserve">Jana </w:t>
      </w:r>
      <w:proofErr w:type="spellStart"/>
      <w:r w:rsidR="00FE14C3" w:rsidRPr="009E59C6">
        <w:rPr>
          <w:b/>
          <w:sz w:val="24"/>
          <w:szCs w:val="24"/>
        </w:rPr>
        <w:t>Pohludková</w:t>
      </w:r>
      <w:proofErr w:type="spellEnd"/>
      <w:r w:rsidR="00FA234A">
        <w:rPr>
          <w:b/>
          <w:sz w:val="24"/>
          <w:szCs w:val="24"/>
        </w:rPr>
        <w:br/>
      </w:r>
      <w:r w:rsidRPr="009E59C6">
        <w:rPr>
          <w:sz w:val="24"/>
          <w:szCs w:val="24"/>
        </w:rPr>
        <w:t>PŘEDMĚT:</w:t>
      </w:r>
      <w:r w:rsidR="00FE14C3" w:rsidRPr="009E59C6">
        <w:rPr>
          <w:sz w:val="24"/>
          <w:szCs w:val="24"/>
        </w:rPr>
        <w:tab/>
      </w:r>
      <w:r w:rsidR="00FE14C3" w:rsidRPr="009E59C6">
        <w:rPr>
          <w:sz w:val="24"/>
          <w:szCs w:val="24"/>
        </w:rPr>
        <w:tab/>
      </w:r>
      <w:r w:rsidR="00FE14C3" w:rsidRPr="009E59C6">
        <w:rPr>
          <w:sz w:val="24"/>
          <w:szCs w:val="24"/>
        </w:rPr>
        <w:tab/>
      </w:r>
      <w:r w:rsidR="00FE14C3" w:rsidRPr="009E59C6">
        <w:rPr>
          <w:b/>
          <w:sz w:val="24"/>
          <w:szCs w:val="24"/>
        </w:rPr>
        <w:t>Anglický jazyk, Konverzace z</w:t>
      </w:r>
      <w:r w:rsidR="00FA234A">
        <w:rPr>
          <w:b/>
          <w:sz w:val="24"/>
          <w:szCs w:val="24"/>
        </w:rPr>
        <w:t> </w:t>
      </w:r>
      <w:r w:rsidR="00FE14C3" w:rsidRPr="009E59C6">
        <w:rPr>
          <w:b/>
          <w:sz w:val="24"/>
          <w:szCs w:val="24"/>
        </w:rPr>
        <w:t>AJ</w:t>
      </w:r>
      <w:r w:rsidR="00FA234A">
        <w:rPr>
          <w:b/>
          <w:sz w:val="24"/>
          <w:szCs w:val="24"/>
        </w:rPr>
        <w:br/>
      </w:r>
      <w:r w:rsidR="00FA234A">
        <w:rPr>
          <w:sz w:val="24"/>
          <w:szCs w:val="24"/>
        </w:rPr>
        <w:t>ŠKOLNÍ ROK</w:t>
      </w:r>
      <w:r w:rsidRPr="009E59C6">
        <w:rPr>
          <w:sz w:val="24"/>
          <w:szCs w:val="24"/>
        </w:rPr>
        <w:t>:</w:t>
      </w:r>
      <w:r w:rsidR="000869E3">
        <w:rPr>
          <w:sz w:val="24"/>
          <w:szCs w:val="24"/>
        </w:rPr>
        <w:tab/>
      </w:r>
      <w:r w:rsidR="000869E3">
        <w:rPr>
          <w:sz w:val="24"/>
          <w:szCs w:val="24"/>
        </w:rPr>
        <w:tab/>
      </w:r>
      <w:r w:rsidR="000869E3">
        <w:rPr>
          <w:sz w:val="24"/>
          <w:szCs w:val="24"/>
        </w:rPr>
        <w:tab/>
      </w:r>
      <w:r w:rsidR="00962AF3">
        <w:rPr>
          <w:sz w:val="24"/>
          <w:szCs w:val="24"/>
        </w:rPr>
        <w:t>202</w:t>
      </w:r>
      <w:r w:rsidR="00226050">
        <w:rPr>
          <w:sz w:val="24"/>
          <w:szCs w:val="24"/>
        </w:rPr>
        <w:t>4</w:t>
      </w:r>
      <w:r w:rsidR="00962AF3">
        <w:rPr>
          <w:sz w:val="24"/>
          <w:szCs w:val="24"/>
        </w:rPr>
        <w:t>/202</w:t>
      </w:r>
      <w:r w:rsidR="00226050">
        <w:rPr>
          <w:sz w:val="24"/>
          <w:szCs w:val="24"/>
        </w:rPr>
        <w:t>5</w:t>
      </w:r>
      <w:r w:rsidR="00872E3F">
        <w:rPr>
          <w:b/>
          <w:sz w:val="24"/>
          <w:szCs w:val="24"/>
        </w:rPr>
        <w:br/>
      </w:r>
      <w:r w:rsidR="00FA234A">
        <w:rPr>
          <w:sz w:val="24"/>
          <w:szCs w:val="24"/>
        </w:rPr>
        <w:t>ROČNÍK</w:t>
      </w:r>
      <w:r w:rsidRPr="009E59C6">
        <w:rPr>
          <w:sz w:val="24"/>
          <w:szCs w:val="24"/>
        </w:rPr>
        <w:t>:</w:t>
      </w:r>
      <w:r w:rsidR="00FE14C3" w:rsidRPr="009E59C6">
        <w:rPr>
          <w:sz w:val="24"/>
          <w:szCs w:val="24"/>
        </w:rPr>
        <w:tab/>
      </w:r>
      <w:r w:rsidR="00FE14C3" w:rsidRPr="009E59C6">
        <w:rPr>
          <w:sz w:val="24"/>
          <w:szCs w:val="24"/>
        </w:rPr>
        <w:tab/>
      </w:r>
      <w:r w:rsidR="009E59C6">
        <w:rPr>
          <w:sz w:val="24"/>
          <w:szCs w:val="24"/>
        </w:rPr>
        <w:tab/>
      </w:r>
    </w:p>
    <w:p w14:paraId="4287A67C" w14:textId="1C1F9BB2" w:rsidR="00B71891" w:rsidRPr="000869E3" w:rsidRDefault="00B71891" w:rsidP="0032118C">
      <w:pPr>
        <w:rPr>
          <w:b/>
          <w:sz w:val="24"/>
          <w:szCs w:val="24"/>
          <w:u w:val="single"/>
        </w:rPr>
      </w:pPr>
      <w:r w:rsidRPr="000869E3">
        <w:rPr>
          <w:b/>
          <w:sz w:val="24"/>
          <w:szCs w:val="24"/>
          <w:u w:val="single"/>
        </w:rPr>
        <w:t>P</w:t>
      </w:r>
      <w:r w:rsidR="001F4C6C">
        <w:rPr>
          <w:b/>
          <w:sz w:val="24"/>
          <w:szCs w:val="24"/>
          <w:u w:val="single"/>
        </w:rPr>
        <w:t>ODMÍNKY</w:t>
      </w:r>
      <w:r w:rsidRPr="000869E3">
        <w:rPr>
          <w:b/>
          <w:sz w:val="24"/>
          <w:szCs w:val="24"/>
          <w:u w:val="single"/>
        </w:rPr>
        <w:t xml:space="preserve"> KLASIFIKACE:</w:t>
      </w:r>
    </w:p>
    <w:p w14:paraId="3E9E11F3" w14:textId="226095AB" w:rsidR="00402EE6" w:rsidRDefault="006B1EDD" w:rsidP="00F233A3">
      <w:pPr>
        <w:pStyle w:val="Odstavecseseznamem"/>
        <w:numPr>
          <w:ilvl w:val="0"/>
          <w:numId w:val="1"/>
        </w:numPr>
        <w:jc w:val="both"/>
      </w:pPr>
      <w:r w:rsidRPr="009E59C6">
        <w:t xml:space="preserve">Žák bude za své studijní </w:t>
      </w:r>
      <w:r w:rsidR="00F233A3">
        <w:t>výkony hodnocen body (</w:t>
      </w:r>
      <w:r w:rsidRPr="009E59C6">
        <w:t>testy, písemný projev, ústní projev, práce v hodině, prezentace, domácí úkoly</w:t>
      </w:r>
      <w:r w:rsidR="00FA234A">
        <w:t xml:space="preserve"> a příprava, úprava sešitů</w:t>
      </w:r>
      <w:r w:rsidR="000869E3">
        <w:t xml:space="preserve"> apod.), ty budou převedeny na procenta a na základě nich bude </w:t>
      </w:r>
      <w:r w:rsidR="00B33E65">
        <w:t>stanovena výsledná známka.</w:t>
      </w:r>
      <w:r w:rsidR="00962AF3">
        <w:t xml:space="preserve"> </w:t>
      </w:r>
      <w:r w:rsidR="00F233A3" w:rsidRPr="009E59C6">
        <w:t xml:space="preserve">Každý test, zkoušení či </w:t>
      </w:r>
      <w:r w:rsidR="00F233A3">
        <w:t>zadaný úkol mají</w:t>
      </w:r>
      <w:r w:rsidR="00F233A3" w:rsidRPr="009E59C6">
        <w:t xml:space="preserve"> jinou váhu, která je </w:t>
      </w:r>
      <w:r w:rsidR="00F233A3">
        <w:t>určena stanoveným počtem bodů.</w:t>
      </w:r>
      <w:r w:rsidR="00F233A3">
        <w:t xml:space="preserve"> </w:t>
      </w:r>
      <w:r w:rsidR="00962AF3">
        <w:t>Je zapotřebí dodržet zadané termíny</w:t>
      </w:r>
      <w:r w:rsidR="001F4C6C">
        <w:t>. Nesplněná práce či nedodržení termínu je hodnoceno 0 body.</w:t>
      </w:r>
    </w:p>
    <w:p w14:paraId="186F586A" w14:textId="41212109" w:rsidR="00125177" w:rsidRDefault="00125177" w:rsidP="00FE14C3">
      <w:pPr>
        <w:pStyle w:val="Odstavecseseznamem"/>
        <w:numPr>
          <w:ilvl w:val="0"/>
          <w:numId w:val="1"/>
        </w:numPr>
        <w:jc w:val="both"/>
      </w:pPr>
      <w:r>
        <w:t>Žák je povinen nosit si do vyučování všechny potřebné pomůcky</w:t>
      </w:r>
      <w:r w:rsidR="00226050">
        <w:t xml:space="preserve"> (učebnici, pracovní sešit, školní sešit…).</w:t>
      </w:r>
      <w:bookmarkStart w:id="0" w:name="_GoBack"/>
      <w:bookmarkEnd w:id="0"/>
    </w:p>
    <w:p w14:paraId="0BC15A31" w14:textId="512B67B0" w:rsidR="00402EE6" w:rsidRDefault="00402EE6" w:rsidP="00FE14C3">
      <w:pPr>
        <w:pStyle w:val="Odstavecseseznamem"/>
        <w:numPr>
          <w:ilvl w:val="0"/>
          <w:numId w:val="1"/>
        </w:numPr>
        <w:jc w:val="both"/>
      </w:pPr>
      <w:r w:rsidRPr="009E59C6">
        <w:t xml:space="preserve">Veškeré </w:t>
      </w:r>
      <w:r>
        <w:t>zadané</w:t>
      </w:r>
      <w:r w:rsidRPr="009E59C6">
        <w:t xml:space="preserve"> </w:t>
      </w:r>
      <w:r>
        <w:t xml:space="preserve">písemné projevy budou odevzdány </w:t>
      </w:r>
      <w:r w:rsidR="00F233A3">
        <w:t>tak, jak zadá vyučující</w:t>
      </w:r>
      <w:r>
        <w:t xml:space="preserve"> – </w:t>
      </w:r>
      <w:r w:rsidR="00F233A3">
        <w:t xml:space="preserve">buď </w:t>
      </w:r>
      <w:r>
        <w:t xml:space="preserve">psané </w:t>
      </w:r>
      <w:r w:rsidR="00F233A3">
        <w:t>rukou nebo vy</w:t>
      </w:r>
      <w:r>
        <w:t>tištěné, nebo</w:t>
      </w:r>
      <w:r w:rsidRPr="009E59C6">
        <w:t xml:space="preserve"> elektronická verze </w:t>
      </w:r>
      <w:r>
        <w:t>vložená do Goog</w:t>
      </w:r>
      <w:r w:rsidR="00F233A3">
        <w:t>le učebny k zadanému úkolu.</w:t>
      </w:r>
    </w:p>
    <w:p w14:paraId="4855F070" w14:textId="47DF4755" w:rsidR="00F233A3" w:rsidRPr="009E59C6" w:rsidRDefault="00F233A3" w:rsidP="00F233A3">
      <w:pPr>
        <w:pStyle w:val="Odstavecseseznamem"/>
        <w:numPr>
          <w:ilvl w:val="0"/>
          <w:numId w:val="1"/>
        </w:numPr>
        <w:jc w:val="both"/>
      </w:pPr>
      <w:r>
        <w:t>V průběhu celého školního roku (nejen u distanční formy studia) bude využívána Google učebna, ve které bude možné najít zadání všech úkolů včetně termínů a také průběžnou klasifikaci. Bude rovněž použita i pro komunikaci se studenty (v případě nemoci apod.)</w:t>
      </w:r>
    </w:p>
    <w:p w14:paraId="5A4B15AA" w14:textId="5CBBD3A4" w:rsidR="006B1EDD" w:rsidRPr="009E59C6" w:rsidRDefault="001F4C6C" w:rsidP="00FE14C3">
      <w:pPr>
        <w:pStyle w:val="Odstavecseseznamem"/>
        <w:numPr>
          <w:ilvl w:val="0"/>
          <w:numId w:val="1"/>
        </w:numPr>
        <w:jc w:val="both"/>
      </w:pPr>
      <w:r>
        <w:t>Přestože žák chyběl ve škole, je</w:t>
      </w:r>
      <w:r w:rsidR="006B1EDD" w:rsidRPr="009E59C6">
        <w:t xml:space="preserve"> povinen absolvovat </w:t>
      </w:r>
      <w:r w:rsidR="00FA234A">
        <w:t xml:space="preserve">a doplnit si </w:t>
      </w:r>
      <w:r w:rsidR="006B1EDD" w:rsidRPr="009E59C6">
        <w:t>všechna zkoušení</w:t>
      </w:r>
      <w:r w:rsidR="00B33E65">
        <w:t>, testy</w:t>
      </w:r>
      <w:r w:rsidR="006B1EDD" w:rsidRPr="009E59C6">
        <w:t xml:space="preserve"> a zadané ú</w:t>
      </w:r>
      <w:r w:rsidR="00B33E65">
        <w:t>koly</w:t>
      </w:r>
      <w:r w:rsidR="00FA234A">
        <w:t xml:space="preserve"> včetně probrané látky</w:t>
      </w:r>
      <w:r w:rsidR="00F233A3">
        <w:t>.</w:t>
      </w:r>
      <w:r>
        <w:t xml:space="preserve"> Za tím účelem kontaktuje </w:t>
      </w:r>
      <w:r w:rsidR="00687072">
        <w:t>zejména</w:t>
      </w:r>
      <w:r>
        <w:t xml:space="preserve"> učitele, </w:t>
      </w:r>
      <w:r w:rsidR="00687072">
        <w:t xml:space="preserve">popř. spolužáky, </w:t>
      </w:r>
      <w:r>
        <w:t>aby se informoval, co vše je potřeba si doplnit.</w:t>
      </w:r>
      <w:r w:rsidR="00B33E65">
        <w:t xml:space="preserve"> </w:t>
      </w:r>
      <w:r>
        <w:t>S</w:t>
      </w:r>
      <w:r w:rsidR="006B1EDD" w:rsidRPr="009E59C6">
        <w:t xml:space="preserve"> vyučujícím se </w:t>
      </w:r>
      <w:r w:rsidR="00125177">
        <w:t xml:space="preserve">ihned </w:t>
      </w:r>
      <w:r>
        <w:t xml:space="preserve">po příchodu do školy </w:t>
      </w:r>
      <w:r w:rsidR="006B1EDD" w:rsidRPr="009E59C6">
        <w:t>dohodne na náhradní</w:t>
      </w:r>
      <w:r w:rsidR="00687072">
        <w:t>ch termínech zkoušení a testů.</w:t>
      </w:r>
    </w:p>
    <w:p w14:paraId="2809F56B" w14:textId="3B4137B8" w:rsidR="006B1EDD" w:rsidRDefault="006B1EDD" w:rsidP="00402EE6">
      <w:pPr>
        <w:pStyle w:val="Odstavecseseznamem"/>
        <w:numPr>
          <w:ilvl w:val="0"/>
          <w:numId w:val="1"/>
        </w:numPr>
        <w:jc w:val="both"/>
      </w:pPr>
      <w:r w:rsidRPr="009E59C6">
        <w:t xml:space="preserve">Pokud </w:t>
      </w:r>
      <w:r w:rsidR="009E59C6">
        <w:t xml:space="preserve">žák chyběl při oznámení </w:t>
      </w:r>
      <w:r w:rsidR="00B33E65">
        <w:t>a zapisování</w:t>
      </w:r>
      <w:r w:rsidRPr="009E59C6">
        <w:t xml:space="preserve"> výsledků</w:t>
      </w:r>
      <w:r w:rsidR="00B33E65">
        <w:t xml:space="preserve"> do ŽK nebo studentského průkazu</w:t>
      </w:r>
      <w:r w:rsidRPr="009E59C6">
        <w:t>, je povinen s</w:t>
      </w:r>
      <w:r w:rsidR="00B33E65">
        <w:t>i je u vyučujícího sám zjistit a řádně zapsat.</w:t>
      </w:r>
    </w:p>
    <w:p w14:paraId="7F616F02" w14:textId="2A3EFD82" w:rsidR="00402EE6" w:rsidRPr="009E59C6" w:rsidRDefault="00402EE6" w:rsidP="00402EE6">
      <w:pPr>
        <w:pStyle w:val="Odstavecseseznamem"/>
        <w:numPr>
          <w:ilvl w:val="0"/>
          <w:numId w:val="1"/>
        </w:numPr>
        <w:jc w:val="both"/>
      </w:pPr>
      <w:r w:rsidRPr="009E59C6">
        <w:t xml:space="preserve">Zkoušení v klasifikačním týdnu a ročníková práce budou hodnoceny na úrovni </w:t>
      </w:r>
      <w:r>
        <w:t>velkého</w:t>
      </w:r>
      <w:r w:rsidRPr="009E59C6">
        <w:t xml:space="preserve"> (</w:t>
      </w:r>
      <w:proofErr w:type="spellStart"/>
      <w:r w:rsidRPr="009E59C6">
        <w:t>Revision</w:t>
      </w:r>
      <w:proofErr w:type="spellEnd"/>
      <w:r w:rsidRPr="009E59C6">
        <w:t xml:space="preserve">) testu </w:t>
      </w:r>
      <w:r>
        <w:br/>
      </w:r>
      <w:r w:rsidRPr="009E59C6">
        <w:t>a jejich bodové ohodnocení bude zahrnuto spolu s dalšími hodnoceními z da</w:t>
      </w:r>
      <w:r>
        <w:t>ného pololetí do celkové známky.</w:t>
      </w:r>
    </w:p>
    <w:p w14:paraId="2118D04E" w14:textId="77777777" w:rsidR="006B1EDD" w:rsidRDefault="006B1EDD" w:rsidP="00FE14C3">
      <w:pPr>
        <w:pStyle w:val="Odstavecseseznamem"/>
        <w:numPr>
          <w:ilvl w:val="0"/>
          <w:numId w:val="1"/>
        </w:numPr>
        <w:jc w:val="both"/>
      </w:pPr>
      <w:r w:rsidRPr="009E59C6">
        <w:t>U výsledné známky za čtvrtletí či pololetí bude přihlédnuto také k míře aktivity žáka při hodinách, přístupu k předmětu a jeho zájmu, plnění jednotlivých povinností</w:t>
      </w:r>
      <w:r w:rsidR="00D07967">
        <w:t xml:space="preserve"> a termínů, nošení pomůcek </w:t>
      </w:r>
      <w:r w:rsidR="001969F0">
        <w:t>do hodin, úpravě a </w:t>
      </w:r>
      <w:r w:rsidR="00D07967">
        <w:t>vedení sešitů</w:t>
      </w:r>
      <w:r w:rsidRPr="009E59C6">
        <w:t xml:space="preserve"> apod. (</w:t>
      </w:r>
      <w:r w:rsidR="00FE14C3" w:rsidRPr="009E59C6">
        <w:t>toto může ovlivnit ce</w:t>
      </w:r>
      <w:r w:rsidR="00D07967">
        <w:t>lkovou známku i o jeden stupeň).</w:t>
      </w:r>
    </w:p>
    <w:p w14:paraId="564A8BB6" w14:textId="6E5BE294" w:rsidR="00FE14C3" w:rsidRDefault="001969F0" w:rsidP="00402EE6">
      <w:pPr>
        <w:pStyle w:val="Odstavecseseznamem"/>
        <w:numPr>
          <w:ilvl w:val="0"/>
          <w:numId w:val="1"/>
        </w:numPr>
        <w:jc w:val="both"/>
      </w:pPr>
      <w:r>
        <w:t xml:space="preserve">Pokud žák nemá dostatečný počet hodnocení k určení výsledné známky, může učitel </w:t>
      </w:r>
      <w:r w:rsidR="00FA234A">
        <w:t xml:space="preserve">rozhodnout o jeho </w:t>
      </w:r>
      <w:proofErr w:type="spellStart"/>
      <w:r w:rsidR="00FA234A">
        <w:t>neklasifikaci</w:t>
      </w:r>
      <w:proofErr w:type="spellEnd"/>
      <w:r>
        <w:t>.</w:t>
      </w:r>
    </w:p>
    <w:p w14:paraId="50037492" w14:textId="31A46458" w:rsidR="00687072" w:rsidRDefault="00687072" w:rsidP="00402EE6">
      <w:pPr>
        <w:pStyle w:val="Odstavecseseznamem"/>
        <w:numPr>
          <w:ilvl w:val="0"/>
          <w:numId w:val="1"/>
        </w:numPr>
        <w:jc w:val="both"/>
      </w:pPr>
      <w:r w:rsidRPr="00226050">
        <w:rPr>
          <w:b/>
        </w:rPr>
        <w:t>Tabulka hodnocení</w:t>
      </w:r>
      <w:r>
        <w:t xml:space="preserve"> (výše procent převedená na známky):</w:t>
      </w:r>
    </w:p>
    <w:p w14:paraId="0AAA6468" w14:textId="77777777" w:rsidR="00226050" w:rsidRDefault="00226050" w:rsidP="00226050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276"/>
      </w:tblGrid>
      <w:tr w:rsidR="00226050" w14:paraId="2CF4F357" w14:textId="77777777" w:rsidTr="00226050">
        <w:tc>
          <w:tcPr>
            <w:tcW w:w="1940" w:type="dxa"/>
          </w:tcPr>
          <w:p w14:paraId="576420E3" w14:textId="7ABC78F4" w:rsidR="00226050" w:rsidRPr="00226050" w:rsidRDefault="00226050" w:rsidP="00226050">
            <w:pPr>
              <w:pStyle w:val="Odstavecseseznamem"/>
              <w:ind w:left="0"/>
              <w:jc w:val="center"/>
              <w:rPr>
                <w:b/>
              </w:rPr>
            </w:pPr>
            <w:r w:rsidRPr="00226050">
              <w:rPr>
                <w:b/>
              </w:rPr>
              <w:t>Procentní vyjádření</w:t>
            </w:r>
          </w:p>
        </w:tc>
        <w:tc>
          <w:tcPr>
            <w:tcW w:w="1276" w:type="dxa"/>
          </w:tcPr>
          <w:p w14:paraId="5A027FFD" w14:textId="336DA859" w:rsidR="00226050" w:rsidRPr="00226050" w:rsidRDefault="00226050" w:rsidP="00226050">
            <w:pPr>
              <w:pStyle w:val="Odstavecseseznamem"/>
              <w:ind w:left="0"/>
              <w:jc w:val="center"/>
              <w:rPr>
                <w:b/>
              </w:rPr>
            </w:pPr>
            <w:r w:rsidRPr="00226050">
              <w:rPr>
                <w:b/>
              </w:rPr>
              <w:t>Výsledná známka</w:t>
            </w:r>
          </w:p>
        </w:tc>
      </w:tr>
      <w:tr w:rsidR="00226050" w14:paraId="6EA94770" w14:textId="77777777" w:rsidTr="00226050">
        <w:tc>
          <w:tcPr>
            <w:tcW w:w="1940" w:type="dxa"/>
          </w:tcPr>
          <w:p w14:paraId="4C280FB2" w14:textId="31D3362B" w:rsidR="00226050" w:rsidRDefault="00226050" w:rsidP="00226050">
            <w:pPr>
              <w:pStyle w:val="Odstavecseseznamem"/>
              <w:ind w:left="0"/>
              <w:jc w:val="center"/>
            </w:pPr>
            <w:r>
              <w:t>88 – 100 %</w:t>
            </w:r>
          </w:p>
        </w:tc>
        <w:tc>
          <w:tcPr>
            <w:tcW w:w="1276" w:type="dxa"/>
          </w:tcPr>
          <w:p w14:paraId="65905F6A" w14:textId="0ED1D169" w:rsidR="00226050" w:rsidRDefault="00226050" w:rsidP="00226050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226050" w14:paraId="290864DD" w14:textId="77777777" w:rsidTr="00226050">
        <w:tc>
          <w:tcPr>
            <w:tcW w:w="1940" w:type="dxa"/>
          </w:tcPr>
          <w:p w14:paraId="6F267D09" w14:textId="191DDA6F" w:rsidR="00226050" w:rsidRDefault="00226050" w:rsidP="00226050">
            <w:pPr>
              <w:pStyle w:val="Odstavecseseznamem"/>
              <w:ind w:left="0"/>
              <w:jc w:val="center"/>
            </w:pPr>
            <w:r>
              <w:t>75 – 87,99 %</w:t>
            </w:r>
          </w:p>
        </w:tc>
        <w:tc>
          <w:tcPr>
            <w:tcW w:w="1276" w:type="dxa"/>
          </w:tcPr>
          <w:p w14:paraId="7F8B960D" w14:textId="295182EE" w:rsidR="00226050" w:rsidRDefault="00226050" w:rsidP="00226050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226050" w14:paraId="2D39092F" w14:textId="77777777" w:rsidTr="00226050">
        <w:tc>
          <w:tcPr>
            <w:tcW w:w="1940" w:type="dxa"/>
          </w:tcPr>
          <w:p w14:paraId="42123ABE" w14:textId="7D4F70DE" w:rsidR="00226050" w:rsidRDefault="00226050" w:rsidP="00226050">
            <w:pPr>
              <w:pStyle w:val="Odstavecseseznamem"/>
              <w:ind w:left="0"/>
              <w:jc w:val="center"/>
            </w:pPr>
            <w:r>
              <w:t>62 – 74,99 %</w:t>
            </w:r>
          </w:p>
        </w:tc>
        <w:tc>
          <w:tcPr>
            <w:tcW w:w="1276" w:type="dxa"/>
          </w:tcPr>
          <w:p w14:paraId="3475FB5E" w14:textId="3718BD8D" w:rsidR="00226050" w:rsidRDefault="00226050" w:rsidP="00226050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226050" w14:paraId="14B9A443" w14:textId="77777777" w:rsidTr="00226050">
        <w:tc>
          <w:tcPr>
            <w:tcW w:w="1940" w:type="dxa"/>
          </w:tcPr>
          <w:p w14:paraId="00222738" w14:textId="650215D9" w:rsidR="00226050" w:rsidRDefault="00226050" w:rsidP="00226050">
            <w:pPr>
              <w:pStyle w:val="Odstavecseseznamem"/>
              <w:ind w:left="0"/>
              <w:jc w:val="center"/>
            </w:pPr>
            <w:r>
              <w:t>49 – 61,99</w:t>
            </w:r>
          </w:p>
        </w:tc>
        <w:tc>
          <w:tcPr>
            <w:tcW w:w="1276" w:type="dxa"/>
          </w:tcPr>
          <w:p w14:paraId="7F485389" w14:textId="4B2CA2F0" w:rsidR="00226050" w:rsidRDefault="00226050" w:rsidP="00226050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226050" w14:paraId="411A0938" w14:textId="77777777" w:rsidTr="00226050">
        <w:tc>
          <w:tcPr>
            <w:tcW w:w="1940" w:type="dxa"/>
          </w:tcPr>
          <w:p w14:paraId="30DF4AA0" w14:textId="5FEAC1B8" w:rsidR="00226050" w:rsidRDefault="00226050" w:rsidP="00226050">
            <w:pPr>
              <w:pStyle w:val="Odstavecseseznamem"/>
              <w:ind w:left="0"/>
              <w:jc w:val="center"/>
            </w:pPr>
            <w:r>
              <w:t>0 – 48,99</w:t>
            </w:r>
          </w:p>
        </w:tc>
        <w:tc>
          <w:tcPr>
            <w:tcW w:w="1276" w:type="dxa"/>
          </w:tcPr>
          <w:p w14:paraId="5A1A6177" w14:textId="0A73AD6E" w:rsidR="00226050" w:rsidRDefault="00226050" w:rsidP="00226050">
            <w:pPr>
              <w:pStyle w:val="Odstavecseseznamem"/>
              <w:ind w:left="0"/>
              <w:jc w:val="center"/>
            </w:pPr>
            <w:r>
              <w:t>5</w:t>
            </w:r>
          </w:p>
        </w:tc>
      </w:tr>
    </w:tbl>
    <w:p w14:paraId="444552D9" w14:textId="77777777" w:rsidR="00687072" w:rsidRPr="009E59C6" w:rsidRDefault="00687072" w:rsidP="00687072">
      <w:pPr>
        <w:pStyle w:val="Odstavecseseznamem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E59C6" w14:paraId="4F641240" w14:textId="77777777" w:rsidTr="009E59C6">
        <w:tc>
          <w:tcPr>
            <w:tcW w:w="5303" w:type="dxa"/>
          </w:tcPr>
          <w:p w14:paraId="04DEBBBC" w14:textId="77777777" w:rsidR="009E59C6" w:rsidRDefault="000869E3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(čitelně!)</w:t>
            </w:r>
          </w:p>
        </w:tc>
        <w:tc>
          <w:tcPr>
            <w:tcW w:w="5303" w:type="dxa"/>
          </w:tcPr>
          <w:p w14:paraId="6FD4BD03" w14:textId="77777777" w:rsidR="009E59C6" w:rsidRDefault="00962AF3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podpis</w:t>
            </w:r>
          </w:p>
        </w:tc>
      </w:tr>
      <w:tr w:rsidR="009E59C6" w14:paraId="2361CFC9" w14:textId="77777777" w:rsidTr="009E59C6">
        <w:tc>
          <w:tcPr>
            <w:tcW w:w="5303" w:type="dxa"/>
          </w:tcPr>
          <w:p w14:paraId="4D1D0C52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1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6E6E9548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045DD3D3" w14:textId="77777777" w:rsidTr="009E59C6">
        <w:tc>
          <w:tcPr>
            <w:tcW w:w="5303" w:type="dxa"/>
          </w:tcPr>
          <w:p w14:paraId="7A6D29C2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2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48E7EC37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27946EB4" w14:textId="77777777" w:rsidTr="009E59C6">
        <w:tc>
          <w:tcPr>
            <w:tcW w:w="5303" w:type="dxa"/>
          </w:tcPr>
          <w:p w14:paraId="1E93F0F7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3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2C8FE6C2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393157C1" w14:textId="77777777" w:rsidTr="009E59C6">
        <w:tc>
          <w:tcPr>
            <w:tcW w:w="5303" w:type="dxa"/>
          </w:tcPr>
          <w:p w14:paraId="0467BB26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4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1A83466C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3F397237" w14:textId="77777777" w:rsidTr="009E59C6">
        <w:tc>
          <w:tcPr>
            <w:tcW w:w="5303" w:type="dxa"/>
          </w:tcPr>
          <w:p w14:paraId="35005BA2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5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69C82B7E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7B645889" w14:textId="77777777" w:rsidTr="009E59C6">
        <w:tc>
          <w:tcPr>
            <w:tcW w:w="5303" w:type="dxa"/>
          </w:tcPr>
          <w:p w14:paraId="19DF81F9" w14:textId="77777777" w:rsidR="009E59C6" w:rsidRDefault="002770F8" w:rsidP="00FE1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6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2E89E6B4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142BA1FA" w14:textId="77777777" w:rsidTr="009E59C6">
        <w:tc>
          <w:tcPr>
            <w:tcW w:w="5303" w:type="dxa"/>
          </w:tcPr>
          <w:p w14:paraId="53A5751B" w14:textId="77777777" w:rsidR="009E59C6" w:rsidRDefault="002770F8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0869E3">
              <w:rPr>
                <w:sz w:val="24"/>
                <w:szCs w:val="24"/>
              </w:rPr>
              <w:t>7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0D8A7809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172213D5" w14:textId="77777777" w:rsidTr="009E59C6">
        <w:tc>
          <w:tcPr>
            <w:tcW w:w="5303" w:type="dxa"/>
          </w:tcPr>
          <w:p w14:paraId="68F1A9D7" w14:textId="77777777" w:rsidR="009E59C6" w:rsidRDefault="002770F8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8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1A0D9BE3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1B2C8930" w14:textId="77777777" w:rsidTr="009E59C6">
        <w:tc>
          <w:tcPr>
            <w:tcW w:w="5303" w:type="dxa"/>
          </w:tcPr>
          <w:p w14:paraId="115F86FB" w14:textId="77777777" w:rsidR="009E59C6" w:rsidRDefault="002770F8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69E3">
              <w:rPr>
                <w:sz w:val="24"/>
                <w:szCs w:val="24"/>
              </w:rPr>
              <w:t>9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18CA124B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6CEFA058" w14:textId="77777777" w:rsidTr="009E59C6">
        <w:tc>
          <w:tcPr>
            <w:tcW w:w="5303" w:type="dxa"/>
          </w:tcPr>
          <w:p w14:paraId="1697A3EC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52785206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6FA3321F" w14:textId="77777777" w:rsidTr="009E59C6">
        <w:tc>
          <w:tcPr>
            <w:tcW w:w="5303" w:type="dxa"/>
          </w:tcPr>
          <w:p w14:paraId="3FE74CF3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277FDF38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661F20A1" w14:textId="77777777" w:rsidTr="009E59C6">
        <w:tc>
          <w:tcPr>
            <w:tcW w:w="5303" w:type="dxa"/>
          </w:tcPr>
          <w:p w14:paraId="62C6B3BD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7BEA49D3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6C7B8E28" w14:textId="77777777" w:rsidTr="009E59C6">
        <w:tc>
          <w:tcPr>
            <w:tcW w:w="5303" w:type="dxa"/>
          </w:tcPr>
          <w:p w14:paraId="5333BFCA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03519987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6DBF8A28" w14:textId="77777777" w:rsidTr="009E59C6">
        <w:tc>
          <w:tcPr>
            <w:tcW w:w="5303" w:type="dxa"/>
          </w:tcPr>
          <w:p w14:paraId="5B0984A0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1731D4DB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2DE083B1" w14:textId="77777777" w:rsidTr="009E59C6">
        <w:tc>
          <w:tcPr>
            <w:tcW w:w="5303" w:type="dxa"/>
          </w:tcPr>
          <w:p w14:paraId="68240E00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4A39FE60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9E59C6" w14:paraId="1D63D3D0" w14:textId="77777777" w:rsidTr="009E59C6">
        <w:tc>
          <w:tcPr>
            <w:tcW w:w="5303" w:type="dxa"/>
          </w:tcPr>
          <w:p w14:paraId="1928D679" w14:textId="77777777" w:rsidR="009E59C6" w:rsidRDefault="000869E3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61F5E">
              <w:rPr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14:paraId="4EB8AA23" w14:textId="77777777" w:rsidR="009E59C6" w:rsidRDefault="009E59C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402EE6" w14:paraId="4F85B2C9" w14:textId="77777777" w:rsidTr="009E59C6">
        <w:tc>
          <w:tcPr>
            <w:tcW w:w="5303" w:type="dxa"/>
          </w:tcPr>
          <w:p w14:paraId="4CD7873A" w14:textId="3AE5489A" w:rsidR="00402EE6" w:rsidRDefault="00402EE6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03" w:type="dxa"/>
          </w:tcPr>
          <w:p w14:paraId="036B897A" w14:textId="77777777" w:rsidR="00402EE6" w:rsidRDefault="00402EE6" w:rsidP="00FE14C3">
            <w:pPr>
              <w:jc w:val="both"/>
              <w:rPr>
                <w:sz w:val="24"/>
                <w:szCs w:val="24"/>
              </w:rPr>
            </w:pPr>
          </w:p>
        </w:tc>
      </w:tr>
      <w:tr w:rsidR="00402EE6" w14:paraId="29BA625C" w14:textId="77777777" w:rsidTr="009E59C6">
        <w:tc>
          <w:tcPr>
            <w:tcW w:w="5303" w:type="dxa"/>
          </w:tcPr>
          <w:p w14:paraId="71CEC9AA" w14:textId="125D3EB6" w:rsidR="00402EE6" w:rsidRDefault="00402EE6" w:rsidP="007B7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303" w:type="dxa"/>
          </w:tcPr>
          <w:p w14:paraId="251B773F" w14:textId="77777777" w:rsidR="00402EE6" w:rsidRDefault="00402EE6" w:rsidP="00FE14C3">
            <w:pPr>
              <w:jc w:val="both"/>
              <w:rPr>
                <w:sz w:val="24"/>
                <w:szCs w:val="24"/>
              </w:rPr>
            </w:pPr>
          </w:p>
        </w:tc>
      </w:tr>
    </w:tbl>
    <w:p w14:paraId="19C196E6" w14:textId="77777777" w:rsidR="00FE14C3" w:rsidRPr="00FE14C3" w:rsidRDefault="00FE14C3" w:rsidP="00962AF3">
      <w:pPr>
        <w:jc w:val="both"/>
        <w:rPr>
          <w:sz w:val="24"/>
          <w:szCs w:val="24"/>
        </w:rPr>
      </w:pPr>
    </w:p>
    <w:sectPr w:rsidR="00FE14C3" w:rsidRPr="00FE14C3" w:rsidSect="00E32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558"/>
    <w:multiLevelType w:val="hybridMultilevel"/>
    <w:tmpl w:val="D1F6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8C"/>
    <w:rsid w:val="000869E3"/>
    <w:rsid w:val="00125177"/>
    <w:rsid w:val="00161F5E"/>
    <w:rsid w:val="001969F0"/>
    <w:rsid w:val="001B4CB8"/>
    <w:rsid w:val="001F4C6C"/>
    <w:rsid w:val="00226050"/>
    <w:rsid w:val="002770F8"/>
    <w:rsid w:val="002F7682"/>
    <w:rsid w:val="0032118C"/>
    <w:rsid w:val="00341521"/>
    <w:rsid w:val="00344BEA"/>
    <w:rsid w:val="00402EE6"/>
    <w:rsid w:val="004A27C6"/>
    <w:rsid w:val="00586098"/>
    <w:rsid w:val="00687072"/>
    <w:rsid w:val="006B1EDD"/>
    <w:rsid w:val="008350CB"/>
    <w:rsid w:val="00872E3F"/>
    <w:rsid w:val="008C1208"/>
    <w:rsid w:val="00962AF3"/>
    <w:rsid w:val="009E59C6"/>
    <w:rsid w:val="00A71F62"/>
    <w:rsid w:val="00B33E65"/>
    <w:rsid w:val="00B71891"/>
    <w:rsid w:val="00D07967"/>
    <w:rsid w:val="00E3262B"/>
    <w:rsid w:val="00F233A3"/>
    <w:rsid w:val="00F51094"/>
    <w:rsid w:val="00FA234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3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EDD"/>
    <w:pPr>
      <w:ind w:left="720"/>
      <w:contextualSpacing/>
    </w:pPr>
  </w:style>
  <w:style w:type="table" w:styleId="Mkatabulky">
    <w:name w:val="Table Grid"/>
    <w:basedOn w:val="Normlntabulka"/>
    <w:uiPriority w:val="59"/>
    <w:rsid w:val="009E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EDD"/>
    <w:pPr>
      <w:ind w:left="720"/>
      <w:contextualSpacing/>
    </w:pPr>
  </w:style>
  <w:style w:type="table" w:styleId="Mkatabulky">
    <w:name w:val="Table Grid"/>
    <w:basedOn w:val="Normlntabulka"/>
    <w:uiPriority w:val="59"/>
    <w:rsid w:val="009E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Pohludková</cp:lastModifiedBy>
  <cp:revision>2</cp:revision>
  <dcterms:created xsi:type="dcterms:W3CDTF">2024-08-27T10:59:00Z</dcterms:created>
  <dcterms:modified xsi:type="dcterms:W3CDTF">2024-08-27T10:59:00Z</dcterms:modified>
</cp:coreProperties>
</file>